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56B" w:rsidRPr="00423D08" w:rsidRDefault="00470895" w:rsidP="00793F06">
      <w:pPr>
        <w:pStyle w:val="Default"/>
        <w:jc w:val="center"/>
        <w:rPr>
          <w:b/>
          <w:bCs/>
          <w:color w:val="auto"/>
        </w:rPr>
      </w:pPr>
      <w:r w:rsidRPr="00423D08">
        <w:rPr>
          <w:b/>
          <w:bCs/>
          <w:color w:val="auto"/>
        </w:rPr>
        <w:t>Human Resources Management/Organizational Behavior</w:t>
      </w:r>
      <w:r w:rsidR="007978D3" w:rsidRPr="00423D08">
        <w:rPr>
          <w:b/>
          <w:bCs/>
          <w:color w:val="auto"/>
        </w:rPr>
        <w:t>/</w:t>
      </w:r>
      <w:r w:rsidRPr="00423D08">
        <w:rPr>
          <w:b/>
          <w:bCs/>
          <w:color w:val="auto"/>
        </w:rPr>
        <w:t>International Business/Strategic Management/Technology Management</w:t>
      </w:r>
      <w:r w:rsidR="007978D3" w:rsidRPr="00423D08">
        <w:rPr>
          <w:b/>
          <w:bCs/>
          <w:color w:val="auto"/>
        </w:rPr>
        <w:t>/Business Management</w:t>
      </w:r>
      <w:r w:rsidR="0073056B" w:rsidRPr="00423D08">
        <w:rPr>
          <w:b/>
          <w:bCs/>
          <w:color w:val="auto"/>
        </w:rPr>
        <w:t xml:space="preserve"> </w:t>
      </w:r>
    </w:p>
    <w:p w:rsidR="00470895" w:rsidRPr="00423D08" w:rsidRDefault="00793F06" w:rsidP="00EF4967">
      <w:pPr>
        <w:pStyle w:val="Default"/>
        <w:jc w:val="center"/>
        <w:rPr>
          <w:b/>
          <w:bCs/>
          <w:color w:val="auto"/>
        </w:rPr>
      </w:pPr>
      <w:r w:rsidRPr="00423D08">
        <w:rPr>
          <w:b/>
          <w:bCs/>
          <w:color w:val="auto"/>
        </w:rPr>
        <w:t>F</w:t>
      </w:r>
      <w:r w:rsidR="00470895" w:rsidRPr="00423D08">
        <w:rPr>
          <w:b/>
          <w:bCs/>
          <w:color w:val="auto"/>
        </w:rPr>
        <w:t>aculty</w:t>
      </w:r>
      <w:r w:rsidRPr="00423D08">
        <w:rPr>
          <w:b/>
          <w:bCs/>
          <w:color w:val="auto"/>
        </w:rPr>
        <w:t xml:space="preserve"> </w:t>
      </w:r>
      <w:r w:rsidR="00470895" w:rsidRPr="00423D08">
        <w:rPr>
          <w:b/>
          <w:bCs/>
          <w:color w:val="auto"/>
        </w:rPr>
        <w:t>Positions</w:t>
      </w:r>
    </w:p>
    <w:p w:rsidR="00793F06" w:rsidRPr="00423D08" w:rsidRDefault="00793F06" w:rsidP="00EF4967">
      <w:pPr>
        <w:pStyle w:val="Default"/>
        <w:jc w:val="center"/>
        <w:rPr>
          <w:color w:val="auto"/>
        </w:rPr>
      </w:pPr>
      <w:r w:rsidRPr="00423D08">
        <w:rPr>
          <w:b/>
          <w:bCs/>
          <w:color w:val="000000" w:themeColor="text1"/>
        </w:rPr>
        <w:t>Spring 2023</w:t>
      </w:r>
      <w:r w:rsidR="00EF4967" w:rsidRPr="00423D08">
        <w:rPr>
          <w:b/>
          <w:bCs/>
          <w:color w:val="000000" w:themeColor="text1"/>
        </w:rPr>
        <w:t>/</w:t>
      </w:r>
      <w:r w:rsidRPr="00423D08">
        <w:rPr>
          <w:b/>
          <w:bCs/>
          <w:color w:val="000000" w:themeColor="text1"/>
        </w:rPr>
        <w:t xml:space="preserve"> </w:t>
      </w:r>
      <w:r w:rsidR="00EF4967" w:rsidRPr="00423D08">
        <w:rPr>
          <w:b/>
          <w:bCs/>
          <w:color w:val="000000" w:themeColor="text1"/>
        </w:rPr>
        <w:t>Fall 2023</w:t>
      </w:r>
      <w:bookmarkStart w:id="0" w:name="_GoBack"/>
      <w:bookmarkEnd w:id="0"/>
    </w:p>
    <w:p w:rsidR="00793F06" w:rsidRPr="00423D08" w:rsidRDefault="00793F06" w:rsidP="00EF4967">
      <w:pPr>
        <w:pStyle w:val="Default"/>
        <w:jc w:val="center"/>
        <w:rPr>
          <w:color w:val="auto"/>
        </w:rPr>
      </w:pPr>
      <w:r w:rsidRPr="00423D08">
        <w:rPr>
          <w:b/>
          <w:bCs/>
          <w:color w:val="auto"/>
        </w:rPr>
        <w:t xml:space="preserve">COLLEGE OF MANAGEMENT </w:t>
      </w:r>
    </w:p>
    <w:p w:rsidR="00793F06" w:rsidRPr="00423D08" w:rsidRDefault="00793F06" w:rsidP="00793F06">
      <w:pPr>
        <w:pStyle w:val="Default"/>
        <w:jc w:val="center"/>
        <w:rPr>
          <w:color w:val="auto"/>
        </w:rPr>
      </w:pPr>
      <w:r w:rsidRPr="00423D08">
        <w:rPr>
          <w:b/>
          <w:bCs/>
          <w:color w:val="auto"/>
        </w:rPr>
        <w:t>NATIONAL TAIWAN NORMAL UNIVERSITY (NTNU)</w:t>
      </w:r>
    </w:p>
    <w:p w:rsidR="00793F06" w:rsidRPr="00423D08" w:rsidRDefault="00793F06" w:rsidP="00793F06">
      <w:pPr>
        <w:pStyle w:val="Default"/>
        <w:jc w:val="center"/>
        <w:rPr>
          <w:color w:val="auto"/>
        </w:rPr>
      </w:pPr>
      <w:r w:rsidRPr="00423D08">
        <w:rPr>
          <w:b/>
          <w:bCs/>
          <w:color w:val="auto"/>
        </w:rPr>
        <w:t xml:space="preserve">TAIPEI, TAIWAN </w:t>
      </w:r>
    </w:p>
    <w:p w:rsidR="00793F06" w:rsidRPr="00423D08" w:rsidRDefault="00793F06" w:rsidP="00EF4967">
      <w:pPr>
        <w:pStyle w:val="Default"/>
        <w:numPr>
          <w:ilvl w:val="0"/>
          <w:numId w:val="1"/>
        </w:numPr>
        <w:rPr>
          <w:color w:val="auto"/>
        </w:rPr>
      </w:pPr>
      <w:r w:rsidRPr="00423D08">
        <w:rPr>
          <w:b/>
          <w:bCs/>
          <w:color w:val="auto"/>
        </w:rPr>
        <w:t>POSITION</w:t>
      </w:r>
      <w:r w:rsidRPr="00423D08">
        <w:rPr>
          <w:b/>
          <w:color w:val="auto"/>
        </w:rPr>
        <w:t>:</w:t>
      </w:r>
      <w:r w:rsidRPr="00423D08">
        <w:rPr>
          <w:color w:val="auto"/>
        </w:rPr>
        <w:t xml:space="preserve"> Full-time faculty positions at the Assistant/Associate Professor rank are available in </w:t>
      </w:r>
      <w:r w:rsidRPr="00423D08">
        <w:rPr>
          <w:color w:val="000000" w:themeColor="text1"/>
        </w:rPr>
        <w:t>February 2023/August 2023</w:t>
      </w:r>
      <w:r w:rsidRPr="00423D08">
        <w:rPr>
          <w:color w:val="auto"/>
        </w:rPr>
        <w:t xml:space="preserve"> to teach undergraduate and graduate courses in all or some of the following fields: </w:t>
      </w:r>
      <w:r w:rsidRPr="00423D08">
        <w:rPr>
          <w:b/>
          <w:color w:val="auto"/>
        </w:rPr>
        <w:t>Human Resources Management/Organizational Behavior</w:t>
      </w:r>
      <w:r w:rsidR="007978D3" w:rsidRPr="00423D08">
        <w:rPr>
          <w:b/>
          <w:color w:val="auto"/>
        </w:rPr>
        <w:t xml:space="preserve"> </w:t>
      </w:r>
      <w:r w:rsidRPr="00423D08">
        <w:rPr>
          <w:b/>
          <w:color w:val="auto"/>
        </w:rPr>
        <w:t>/</w:t>
      </w:r>
      <w:r w:rsidRPr="00423D08">
        <w:rPr>
          <w:b/>
        </w:rPr>
        <w:t>I</w:t>
      </w:r>
      <w:r w:rsidRPr="00423D08">
        <w:rPr>
          <w:b/>
          <w:color w:val="auto"/>
        </w:rPr>
        <w:t>nternational Business/Strategic Management/Technology Management</w:t>
      </w:r>
      <w:r w:rsidR="007978D3" w:rsidRPr="00423D08">
        <w:rPr>
          <w:b/>
          <w:color w:val="auto"/>
        </w:rPr>
        <w:t>/Business Management</w:t>
      </w:r>
      <w:r w:rsidRPr="00423D08">
        <w:rPr>
          <w:b/>
          <w:color w:val="auto"/>
        </w:rPr>
        <w:t>.</w:t>
      </w:r>
      <w:r w:rsidRPr="00423D08" w:rsidDel="004A4D60">
        <w:rPr>
          <w:b/>
          <w:color w:val="FF0000"/>
        </w:rPr>
        <w:t xml:space="preserve"> </w:t>
      </w:r>
      <w:r w:rsidRPr="00423D08">
        <w:rPr>
          <w:color w:val="auto"/>
        </w:rPr>
        <w:t>The positions are flexible to accommodate other teaching and research interests. The positions are subject to funding.</w:t>
      </w:r>
    </w:p>
    <w:p w:rsidR="00793F06" w:rsidRPr="00423D08" w:rsidRDefault="00793F06" w:rsidP="00192E15">
      <w:pPr>
        <w:pStyle w:val="Default"/>
        <w:numPr>
          <w:ilvl w:val="0"/>
          <w:numId w:val="1"/>
        </w:numPr>
        <w:ind w:left="444" w:hangingChars="185" w:hanging="444"/>
        <w:rPr>
          <w:color w:val="auto"/>
        </w:rPr>
      </w:pPr>
      <w:r w:rsidRPr="00423D08">
        <w:rPr>
          <w:b/>
          <w:bCs/>
          <w:color w:val="auto"/>
        </w:rPr>
        <w:t>QUALIFICATIONS:</w:t>
      </w:r>
      <w:r w:rsidR="007978D3" w:rsidRPr="00423D08">
        <w:rPr>
          <w:b/>
          <w:bCs/>
          <w:color w:val="auto"/>
        </w:rPr>
        <w:t xml:space="preserve"> </w:t>
      </w:r>
      <w:r w:rsidRPr="00423D08">
        <w:rPr>
          <w:color w:val="auto"/>
        </w:rPr>
        <w:t xml:space="preserve">A Ph.D. in </w:t>
      </w:r>
      <w:r w:rsidRPr="00423D08">
        <w:rPr>
          <w:b/>
          <w:color w:val="auto"/>
        </w:rPr>
        <w:t>Human Resources Management/Organizational Behavior/</w:t>
      </w:r>
      <w:r w:rsidR="007978D3" w:rsidRPr="00423D08">
        <w:rPr>
          <w:b/>
        </w:rPr>
        <w:t xml:space="preserve"> </w:t>
      </w:r>
      <w:r w:rsidRPr="00423D08">
        <w:rPr>
          <w:b/>
        </w:rPr>
        <w:t>I</w:t>
      </w:r>
      <w:r w:rsidRPr="00423D08">
        <w:rPr>
          <w:b/>
          <w:color w:val="auto"/>
        </w:rPr>
        <w:t>nternational Business/Strategic Management/Technology Management</w:t>
      </w:r>
      <w:r w:rsidR="007978D3" w:rsidRPr="00423D08">
        <w:rPr>
          <w:b/>
          <w:color w:val="auto"/>
        </w:rPr>
        <w:t>/ Business Management</w:t>
      </w:r>
      <w:r w:rsidRPr="00423D08">
        <w:rPr>
          <w:b/>
          <w:color w:val="auto"/>
        </w:rPr>
        <w:t xml:space="preserve"> or related fields</w:t>
      </w:r>
      <w:r w:rsidRPr="00423D08">
        <w:rPr>
          <w:color w:val="auto"/>
        </w:rPr>
        <w:t>. Applicants from AACSB-accredited schools are preferable. Applicants require a degree in hand by</w:t>
      </w:r>
      <w:r w:rsidRPr="00423D08">
        <w:rPr>
          <w:color w:val="FF0000"/>
        </w:rPr>
        <w:t xml:space="preserve"> </w:t>
      </w:r>
      <w:r w:rsidRPr="00423D08">
        <w:rPr>
          <w:color w:val="000000" w:themeColor="text1"/>
        </w:rPr>
        <w:t>September 30,</w:t>
      </w:r>
      <w:r w:rsidRPr="00423D08">
        <w:rPr>
          <w:color w:val="auto"/>
        </w:rPr>
        <w:t xml:space="preserve"> 2022/</w:t>
      </w:r>
      <w:r w:rsidRPr="00423D08">
        <w:rPr>
          <w:color w:val="000000" w:themeColor="text1"/>
        </w:rPr>
        <w:t xml:space="preserve"> March 31,</w:t>
      </w:r>
      <w:r w:rsidRPr="00423D08">
        <w:rPr>
          <w:color w:val="auto"/>
        </w:rPr>
        <w:t xml:space="preserve"> 2023. Applicants should </w:t>
      </w:r>
      <w:r w:rsidRPr="00423D08">
        <w:rPr>
          <w:color w:val="404040"/>
          <w:shd w:val="clear" w:color="auto" w:fill="FFFFFF"/>
        </w:rPr>
        <w:t>be active researchers with a commitment to pursue excellence in teaching and research</w:t>
      </w:r>
      <w:r w:rsidRPr="00423D08">
        <w:rPr>
          <w:color w:val="auto"/>
        </w:rPr>
        <w:t>. Professional work experience will be a plus. In alignment with the college’s mission, content that reflects humanistic management/leadership concerns are expected to be covered in the courses to be taught.</w:t>
      </w:r>
    </w:p>
    <w:p w:rsidR="00793F06" w:rsidRPr="00423D08" w:rsidRDefault="00793F06" w:rsidP="00192E15">
      <w:pPr>
        <w:pStyle w:val="Default"/>
        <w:numPr>
          <w:ilvl w:val="0"/>
          <w:numId w:val="1"/>
        </w:numPr>
        <w:rPr>
          <w:color w:val="auto"/>
        </w:rPr>
      </w:pPr>
      <w:r w:rsidRPr="00423D08">
        <w:rPr>
          <w:b/>
          <w:bCs/>
          <w:color w:val="auto"/>
        </w:rPr>
        <w:t>JOB RESPONSIBILITY</w:t>
      </w:r>
      <w:r w:rsidRPr="00423D08">
        <w:rPr>
          <w:color w:val="auto"/>
        </w:rPr>
        <w:t xml:space="preserve">: NTNU emphasizes both research and teaching. Candidates must have a commitment to conduct research which leads to quality refereed publications. NTNU provides good support for faculty research. Service to the college and/or university is also expected. </w:t>
      </w:r>
    </w:p>
    <w:p w:rsidR="00793F06" w:rsidRPr="00423D08" w:rsidRDefault="00793F06" w:rsidP="00793F06">
      <w:pPr>
        <w:pStyle w:val="Default"/>
        <w:numPr>
          <w:ilvl w:val="0"/>
          <w:numId w:val="1"/>
        </w:numPr>
        <w:jc w:val="both"/>
        <w:rPr>
          <w:color w:val="auto"/>
        </w:rPr>
      </w:pPr>
      <w:r w:rsidRPr="00423D08">
        <w:rPr>
          <w:b/>
          <w:bCs/>
          <w:color w:val="auto"/>
        </w:rPr>
        <w:t xml:space="preserve">THE COLLEGE: </w:t>
      </w:r>
      <w:r w:rsidRPr="00423D08">
        <w:rPr>
          <w:color w:val="auto"/>
        </w:rPr>
        <w:t xml:space="preserve">The NTNU College of Management offers undergraduate, MBA, and EMBA programs, serves approximately 520 business students, and is actively pursuing AACSB accreditation. </w:t>
      </w:r>
    </w:p>
    <w:p w:rsidR="00793F06" w:rsidRPr="00423D08" w:rsidRDefault="00793F06" w:rsidP="00793F06">
      <w:pPr>
        <w:pStyle w:val="Default"/>
        <w:numPr>
          <w:ilvl w:val="0"/>
          <w:numId w:val="1"/>
        </w:numPr>
        <w:jc w:val="both"/>
        <w:rPr>
          <w:color w:val="auto"/>
        </w:rPr>
      </w:pPr>
      <w:r w:rsidRPr="00423D08">
        <w:rPr>
          <w:b/>
          <w:bCs/>
          <w:color w:val="auto"/>
        </w:rPr>
        <w:t>THE UNIVERSITY</w:t>
      </w:r>
      <w:r w:rsidRPr="00423D08">
        <w:rPr>
          <w:color w:val="auto"/>
        </w:rPr>
        <w:t xml:space="preserve">: NTNU is a vibrant learning community that has long been recognized as one of Taiwan’s elite institutions of higher education. Founded in 1922, NTNU was formerly an institute dedicated to teacher education and later evolved into a comprehensive university. According to the </w:t>
      </w:r>
      <w:r w:rsidRPr="00423D08">
        <w:rPr>
          <w:b/>
          <w:bCs/>
          <w:color w:val="auto"/>
        </w:rPr>
        <w:t>QS World University Rankings:</w:t>
      </w:r>
      <w:r w:rsidRPr="00423D08">
        <w:rPr>
          <w:color w:val="auto"/>
        </w:rPr>
        <w:t xml:space="preserve"> the university is ranked 61st in Asian University rankings; and Overall: 33</w:t>
      </w:r>
      <w:r w:rsidR="00EF4967" w:rsidRPr="00423D08">
        <w:rPr>
          <w:color w:val="auto"/>
        </w:rPr>
        <w:t>2</w:t>
      </w:r>
      <w:r w:rsidRPr="00423D08">
        <w:rPr>
          <w:color w:val="auto"/>
        </w:rPr>
        <w:t xml:space="preserve">; the </w:t>
      </w:r>
      <w:r w:rsidRPr="00423D08">
        <w:rPr>
          <w:b/>
          <w:bCs/>
          <w:color w:val="333333"/>
          <w:shd w:val="clear" w:color="auto" w:fill="FFFFFF"/>
        </w:rPr>
        <w:t xml:space="preserve">THE </w:t>
      </w:r>
      <w:r w:rsidRPr="00423D08">
        <w:rPr>
          <w:b/>
          <w:bCs/>
          <w:color w:val="auto"/>
        </w:rPr>
        <w:t>Rankings:</w:t>
      </w:r>
      <w:r w:rsidRPr="00423D08">
        <w:rPr>
          <w:color w:val="auto"/>
        </w:rPr>
        <w:t xml:space="preserve"> The University is ranked 1st in </w:t>
      </w:r>
      <w:r w:rsidRPr="00423D08">
        <w:rPr>
          <w:i/>
          <w:iCs/>
          <w:color w:val="auto"/>
        </w:rPr>
        <w:t xml:space="preserve">International Outlook </w:t>
      </w:r>
      <w:r w:rsidRPr="00423D08">
        <w:rPr>
          <w:color w:val="auto"/>
        </w:rPr>
        <w:t>among Taiwanese universities.</w:t>
      </w:r>
    </w:p>
    <w:p w:rsidR="00793F06" w:rsidRPr="00423D08" w:rsidRDefault="00793F06" w:rsidP="00433904">
      <w:pPr>
        <w:pStyle w:val="Default"/>
        <w:numPr>
          <w:ilvl w:val="0"/>
          <w:numId w:val="1"/>
        </w:numPr>
        <w:jc w:val="both"/>
        <w:rPr>
          <w:color w:val="auto"/>
        </w:rPr>
      </w:pPr>
      <w:r w:rsidRPr="00423D08">
        <w:rPr>
          <w:b/>
          <w:bCs/>
          <w:color w:val="auto"/>
        </w:rPr>
        <w:t>APPLICATIONS</w:t>
      </w:r>
      <w:r w:rsidRPr="00423D08">
        <w:rPr>
          <w:color w:val="auto"/>
        </w:rPr>
        <w:t xml:space="preserve">: Applications should consist of the following: a cover letter </w:t>
      </w:r>
      <w:r w:rsidRPr="00423D08">
        <w:rPr>
          <w:color w:val="auto"/>
        </w:rPr>
        <w:lastRenderedPageBreak/>
        <w:t xml:space="preserve">explaining why the NTNU College of Management is of interest; a full curriculum vitae, including a complete list of publications and teaching experience; a statement on research interests and teaching philosophy; photocopy or official copy of transcripts; </w:t>
      </w:r>
      <w:r w:rsidRPr="00423D08">
        <w:t xml:space="preserve">course syllabi; </w:t>
      </w:r>
      <w:r w:rsidRPr="00423D08">
        <w:rPr>
          <w:color w:val="auto"/>
        </w:rPr>
        <w:t>e-mail address; and names, addresses and contact phone numbers of at least three references.</w:t>
      </w:r>
    </w:p>
    <w:p w:rsidR="006367BF" w:rsidRPr="00423D08" w:rsidRDefault="006367BF" w:rsidP="006367BF">
      <w:pPr>
        <w:pStyle w:val="Default"/>
        <w:ind w:left="480"/>
        <w:jc w:val="both"/>
        <w:rPr>
          <w:color w:val="auto"/>
        </w:rPr>
      </w:pPr>
      <w:r w:rsidRPr="00423D08">
        <w:rPr>
          <w:color w:val="auto"/>
        </w:rPr>
        <w:t xml:space="preserve">Please mention at the end of each publication if your papes have been published in any of the following journals: SCI, SSCI, TSSCI, and SCIE. </w:t>
      </w:r>
    </w:p>
    <w:p w:rsidR="006367BF" w:rsidRPr="00423D08" w:rsidRDefault="006367BF" w:rsidP="006367BF">
      <w:pPr>
        <w:pStyle w:val="Default"/>
        <w:ind w:left="480"/>
        <w:jc w:val="both"/>
        <w:rPr>
          <w:color w:val="auto"/>
        </w:rPr>
      </w:pPr>
      <w:r w:rsidRPr="00423D08">
        <w:rPr>
          <w:color w:val="auto"/>
        </w:rPr>
        <w:t xml:space="preserve">e.g. </w:t>
      </w:r>
    </w:p>
    <w:p w:rsidR="006367BF" w:rsidRPr="00423D08" w:rsidRDefault="00F60737" w:rsidP="006367BF">
      <w:pPr>
        <w:pStyle w:val="Default"/>
        <w:ind w:left="480"/>
        <w:jc w:val="both"/>
        <w:rPr>
          <w:color w:val="auto"/>
        </w:rPr>
      </w:pPr>
      <w:r w:rsidRPr="00423D08">
        <w:rPr>
          <w:color w:val="auto"/>
        </w:rPr>
        <w:t>Yeh, S-C, Chiou, H., Wu, A-W, Lee, H-C, &amp; Wu, H. C. (2019). Diverged preferences towards sustainable development goals? A comparison between academia and the communication industry. International Journal of Environmental Research and Public Health, 16(22), 4577. SSCI</w:t>
      </w:r>
    </w:p>
    <w:p w:rsidR="00793F06" w:rsidRPr="00423D08" w:rsidRDefault="00793F06" w:rsidP="00793F06">
      <w:pPr>
        <w:pStyle w:val="Default"/>
        <w:ind w:left="480"/>
        <w:jc w:val="both"/>
        <w:rPr>
          <w:color w:val="404040"/>
          <w:shd w:val="clear" w:color="auto" w:fill="FFFFFF"/>
        </w:rPr>
      </w:pPr>
      <w:r w:rsidRPr="00423D08">
        <w:rPr>
          <w:bCs/>
          <w:color w:val="auto"/>
        </w:rPr>
        <w:t>The application should be submitted in electronic form (MS Word or PDF file)</w:t>
      </w:r>
      <w:r w:rsidRPr="00423D08">
        <w:rPr>
          <w:b/>
          <w:bCs/>
          <w:color w:val="auto"/>
        </w:rPr>
        <w:t xml:space="preserve"> </w:t>
      </w:r>
      <w:r w:rsidRPr="00423D08">
        <w:rPr>
          <w:color w:val="auto"/>
        </w:rPr>
        <w:t>to Ms. Ching-Hui Huang (e-mail:</w:t>
      </w:r>
      <w:r w:rsidRPr="00423D08">
        <w:t>m</w:t>
      </w:r>
      <w:r w:rsidRPr="00423D08">
        <w:rPr>
          <w:color w:val="auto"/>
        </w:rPr>
        <w:t xml:space="preserve">gt@deps.ntnu.edu.tw). </w:t>
      </w:r>
      <w:r w:rsidRPr="00423D08">
        <w:rPr>
          <w:color w:val="404040"/>
          <w:shd w:val="clear" w:color="auto" w:fill="FFFFFF"/>
        </w:rPr>
        <w:t>The post will remain open until filled.</w:t>
      </w:r>
    </w:p>
    <w:p w:rsidR="003139AB" w:rsidRPr="00423D08" w:rsidRDefault="003139AB">
      <w:pPr>
        <w:widowControl/>
        <w:rPr>
          <w:rFonts w:ascii="Times New Roman" w:hAnsi="Times New Roman" w:cs="Times New Roman"/>
          <w:szCs w:val="24"/>
        </w:rPr>
      </w:pPr>
      <w:r w:rsidRPr="00423D08">
        <w:rPr>
          <w:rFonts w:ascii="Times New Roman" w:hAnsi="Times New Roman" w:cs="Times New Roman"/>
          <w:szCs w:val="24"/>
        </w:rPr>
        <w:br w:type="page"/>
      </w:r>
    </w:p>
    <w:p w:rsidR="00F51DC4" w:rsidRPr="00423D08" w:rsidRDefault="003139AB" w:rsidP="003139AB">
      <w:pPr>
        <w:widowControl/>
        <w:rPr>
          <w:rFonts w:ascii="Times New Roman" w:hAnsi="Times New Roman" w:cs="Times New Roman"/>
          <w:szCs w:val="24"/>
        </w:rPr>
      </w:pPr>
      <w:r w:rsidRPr="00423D08">
        <w:rPr>
          <w:rFonts w:ascii="Times New Roman" w:hAnsi="Times New Roman" w:cs="Times New Roman"/>
          <w:szCs w:val="24"/>
        </w:rPr>
        <w:lastRenderedPageBreak/>
        <w:t>應徵者最近三年著作發表情形</w:t>
      </w:r>
      <w:r w:rsidR="005C3B70" w:rsidRPr="00423D08">
        <w:rPr>
          <w:rFonts w:ascii="Times New Roman" w:hAnsi="Times New Roman" w:cs="Times New Roman"/>
          <w:szCs w:val="24"/>
        </w:rPr>
        <w:t>(20</w:t>
      </w:r>
      <w:r w:rsidR="00D73EE7" w:rsidRPr="00423D08">
        <w:rPr>
          <w:rFonts w:ascii="Times New Roman" w:hAnsi="Times New Roman" w:cs="Times New Roman"/>
          <w:szCs w:val="24"/>
        </w:rPr>
        <w:t>19</w:t>
      </w:r>
      <w:r w:rsidR="005C3B70" w:rsidRPr="00423D08">
        <w:rPr>
          <w:rFonts w:ascii="Times New Roman" w:hAnsi="Times New Roman" w:cs="Times New Roman"/>
          <w:szCs w:val="24"/>
        </w:rPr>
        <w:t>/7</w:t>
      </w:r>
      <w:r w:rsidR="00D73EE7" w:rsidRPr="00423D08">
        <w:rPr>
          <w:rFonts w:ascii="Times New Roman" w:hAnsi="Times New Roman" w:cs="Times New Roman"/>
          <w:szCs w:val="24"/>
        </w:rPr>
        <w:t>之後</w:t>
      </w:r>
      <w:r w:rsidR="005C3B70" w:rsidRPr="00423D08">
        <w:rPr>
          <w:rFonts w:ascii="Times New Roman" w:hAnsi="Times New Roman" w:cs="Times New Roman"/>
          <w:szCs w:val="24"/>
        </w:rPr>
        <w:t>)</w:t>
      </w:r>
    </w:p>
    <w:p w:rsidR="003139AB" w:rsidRPr="00423D08" w:rsidRDefault="003139AB" w:rsidP="003139AB">
      <w:pPr>
        <w:widowControl/>
        <w:rPr>
          <w:rFonts w:ascii="Times New Roman" w:hAnsi="Times New Roman" w:cs="Times New Roman"/>
          <w:szCs w:val="24"/>
        </w:rPr>
      </w:pPr>
    </w:p>
    <w:p w:rsidR="003139AB" w:rsidRPr="00423D08" w:rsidRDefault="003139AB" w:rsidP="003139AB">
      <w:pPr>
        <w:widowControl/>
        <w:rPr>
          <w:rFonts w:ascii="Times New Roman" w:hAnsi="Times New Roman" w:cs="Times New Roman"/>
          <w:szCs w:val="24"/>
        </w:rPr>
      </w:pPr>
      <w:r w:rsidRPr="00423D08">
        <w:rPr>
          <w:rFonts w:ascii="Times New Roman" w:hAnsi="Times New Roman" w:cs="Times New Roman"/>
          <w:szCs w:val="24"/>
        </w:rPr>
        <w:t>作者順序</w:t>
      </w:r>
      <w:r w:rsidRPr="00423D08">
        <w:rPr>
          <w:rFonts w:ascii="Times New Roman" w:hAnsi="Times New Roman" w:cs="Times New Roman"/>
          <w:szCs w:val="24"/>
        </w:rPr>
        <w:t xml:space="preserve">  </w:t>
      </w:r>
      <w:r w:rsidRPr="00423D08">
        <w:rPr>
          <w:rFonts w:ascii="Times New Roman" w:hAnsi="Times New Roman" w:cs="Times New Roman"/>
          <w:szCs w:val="24"/>
        </w:rPr>
        <w:t>論文名稱</w:t>
      </w:r>
    </w:p>
    <w:tbl>
      <w:tblPr>
        <w:tblStyle w:val="a4"/>
        <w:tblW w:w="9209" w:type="dxa"/>
        <w:tblLook w:val="04A0" w:firstRow="1" w:lastRow="0" w:firstColumn="1" w:lastColumn="0" w:noHBand="0" w:noVBand="1"/>
      </w:tblPr>
      <w:tblGrid>
        <w:gridCol w:w="1031"/>
        <w:gridCol w:w="1618"/>
        <w:gridCol w:w="1333"/>
        <w:gridCol w:w="1217"/>
        <w:gridCol w:w="1230"/>
        <w:gridCol w:w="1536"/>
        <w:gridCol w:w="1244"/>
      </w:tblGrid>
      <w:tr w:rsidR="009E312A" w:rsidRPr="00423D08" w:rsidTr="00366FA1">
        <w:tc>
          <w:tcPr>
            <w:tcW w:w="1004" w:type="dxa"/>
          </w:tcPr>
          <w:p w:rsidR="005C3B70" w:rsidRPr="00423D08" w:rsidRDefault="005C3B70" w:rsidP="0040166F">
            <w:pPr>
              <w:rPr>
                <w:rFonts w:ascii="Times New Roman" w:hAnsi="Times New Roman" w:cs="Times New Roman"/>
                <w:b/>
                <w:szCs w:val="24"/>
                <w:lang w:val="x-none"/>
              </w:rPr>
            </w:pPr>
            <w:r w:rsidRPr="00423D08">
              <w:rPr>
                <w:rFonts w:ascii="Times New Roman" w:hAnsi="Times New Roman" w:cs="Times New Roman"/>
                <w:b/>
                <w:szCs w:val="24"/>
                <w:lang w:val="x-none"/>
              </w:rPr>
              <w:t>序號</w:t>
            </w:r>
          </w:p>
        </w:tc>
        <w:tc>
          <w:tcPr>
            <w:tcW w:w="1627" w:type="dxa"/>
          </w:tcPr>
          <w:p w:rsidR="005C3B70" w:rsidRPr="00423D08" w:rsidRDefault="005C3B70" w:rsidP="0040166F">
            <w:pPr>
              <w:rPr>
                <w:rFonts w:ascii="Times New Roman" w:hAnsi="Times New Roman" w:cs="Times New Roman"/>
                <w:b/>
                <w:szCs w:val="24"/>
                <w:highlight w:val="yellow"/>
                <w:lang w:val="x-none"/>
              </w:rPr>
            </w:pPr>
            <w:r w:rsidRPr="00423D08">
              <w:rPr>
                <w:rFonts w:ascii="Times New Roman" w:hAnsi="Times New Roman" w:cs="Times New Roman"/>
                <w:b/>
                <w:szCs w:val="24"/>
                <w:highlight w:val="yellow"/>
                <w:lang w:val="x-none"/>
              </w:rPr>
              <w:t>發表日期</w:t>
            </w:r>
            <w:r w:rsidRPr="00423D08">
              <w:rPr>
                <w:rFonts w:ascii="Times New Roman" w:hAnsi="Times New Roman" w:cs="Times New Roman"/>
                <w:b/>
                <w:szCs w:val="24"/>
                <w:highlight w:val="yellow"/>
                <w:lang w:val="x-none"/>
              </w:rPr>
              <w:t>(</w:t>
            </w:r>
            <w:r w:rsidRPr="00423D08">
              <w:rPr>
                <w:rFonts w:ascii="Times New Roman" w:hAnsi="Times New Roman" w:cs="Times New Roman"/>
                <w:b/>
                <w:szCs w:val="24"/>
                <w:highlight w:val="yellow"/>
                <w:lang w:val="x-none"/>
              </w:rPr>
              <w:t>年</w:t>
            </w:r>
            <w:r w:rsidRPr="00423D08">
              <w:rPr>
                <w:rFonts w:ascii="Times New Roman" w:hAnsi="Times New Roman" w:cs="Times New Roman"/>
                <w:b/>
                <w:szCs w:val="24"/>
                <w:highlight w:val="yellow"/>
                <w:lang w:val="x-none"/>
              </w:rPr>
              <w:t>)</w:t>
            </w:r>
          </w:p>
          <w:p w:rsidR="005C3B70" w:rsidRPr="00423D08" w:rsidRDefault="005C3B70" w:rsidP="0040166F">
            <w:pPr>
              <w:rPr>
                <w:rFonts w:ascii="Times New Roman" w:hAnsi="Times New Roman" w:cs="Times New Roman"/>
                <w:b/>
                <w:szCs w:val="24"/>
                <w:lang w:val="x-none"/>
              </w:rPr>
            </w:pPr>
            <w:r w:rsidRPr="00423D08">
              <w:rPr>
                <w:rFonts w:ascii="Times New Roman" w:hAnsi="Times New Roman" w:cs="Times New Roman"/>
                <w:b/>
                <w:szCs w:val="24"/>
                <w:highlight w:val="yellow"/>
                <w:lang w:val="x-none"/>
              </w:rPr>
              <w:t>2016-2021</w:t>
            </w:r>
          </w:p>
        </w:tc>
        <w:tc>
          <w:tcPr>
            <w:tcW w:w="1355" w:type="dxa"/>
          </w:tcPr>
          <w:p w:rsidR="005C3B70" w:rsidRPr="00423D08" w:rsidRDefault="005C3B70" w:rsidP="0040166F">
            <w:pPr>
              <w:jc w:val="center"/>
              <w:rPr>
                <w:rFonts w:ascii="Times New Roman" w:hAnsi="Times New Roman" w:cs="Times New Roman"/>
                <w:b/>
                <w:szCs w:val="24"/>
                <w:lang w:val="x-none"/>
              </w:rPr>
            </w:pPr>
            <w:r w:rsidRPr="00423D08">
              <w:rPr>
                <w:rFonts w:ascii="Times New Roman" w:hAnsi="Times New Roman" w:cs="Times New Roman"/>
                <w:b/>
                <w:szCs w:val="24"/>
                <w:lang w:val="x-none"/>
              </w:rPr>
              <w:t>作者</w:t>
            </w:r>
          </w:p>
        </w:tc>
        <w:tc>
          <w:tcPr>
            <w:tcW w:w="1195" w:type="dxa"/>
          </w:tcPr>
          <w:p w:rsidR="005C3B70" w:rsidRPr="00423D08" w:rsidRDefault="005C3B70" w:rsidP="009E312A">
            <w:pPr>
              <w:rPr>
                <w:rFonts w:ascii="Times New Roman" w:hAnsi="Times New Roman" w:cs="Times New Roman"/>
                <w:b/>
                <w:szCs w:val="24"/>
                <w:lang w:val="x-none"/>
              </w:rPr>
            </w:pPr>
            <w:r w:rsidRPr="00423D08">
              <w:rPr>
                <w:rFonts w:ascii="Times New Roman" w:hAnsi="Times New Roman" w:cs="Times New Roman"/>
                <w:b/>
                <w:szCs w:val="24"/>
                <w:lang w:val="x-none"/>
              </w:rPr>
              <w:t>期刊論文</w:t>
            </w:r>
            <w:r w:rsidR="009E312A" w:rsidRPr="00423D08">
              <w:rPr>
                <w:rFonts w:ascii="Times New Roman" w:hAnsi="Times New Roman" w:cs="Times New Roman"/>
                <w:b/>
                <w:szCs w:val="24"/>
                <w:lang w:val="x-none"/>
              </w:rPr>
              <w:t>篇名</w:t>
            </w:r>
          </w:p>
        </w:tc>
        <w:tc>
          <w:tcPr>
            <w:tcW w:w="1194" w:type="dxa"/>
          </w:tcPr>
          <w:p w:rsidR="005C3B70" w:rsidRPr="00423D08" w:rsidRDefault="00426A98" w:rsidP="0040166F">
            <w:pPr>
              <w:rPr>
                <w:rFonts w:ascii="Times New Roman" w:hAnsi="Times New Roman" w:cs="Times New Roman"/>
                <w:b/>
                <w:szCs w:val="24"/>
                <w:lang w:val="x-none"/>
              </w:rPr>
            </w:pPr>
            <w:r w:rsidRPr="00423D08">
              <w:rPr>
                <w:rFonts w:ascii="Times New Roman" w:hAnsi="Times New Roman" w:cs="Times New Roman"/>
                <w:b/>
                <w:szCs w:val="24"/>
                <w:lang w:val="x-none"/>
              </w:rPr>
              <w:t>發表的</w:t>
            </w:r>
            <w:r w:rsidR="005C3B70" w:rsidRPr="00423D08">
              <w:rPr>
                <w:rFonts w:ascii="Times New Roman" w:hAnsi="Times New Roman" w:cs="Times New Roman"/>
                <w:b/>
                <w:szCs w:val="24"/>
                <w:lang w:val="x-none"/>
              </w:rPr>
              <w:t>期刊名稱</w:t>
            </w:r>
          </w:p>
        </w:tc>
        <w:tc>
          <w:tcPr>
            <w:tcW w:w="1558" w:type="dxa"/>
          </w:tcPr>
          <w:p w:rsidR="005C3B70" w:rsidRPr="00423D08" w:rsidRDefault="005C3B70" w:rsidP="0040166F">
            <w:pPr>
              <w:jc w:val="center"/>
              <w:rPr>
                <w:rFonts w:ascii="Times New Roman" w:hAnsi="Times New Roman" w:cs="Times New Roman"/>
                <w:b/>
                <w:szCs w:val="24"/>
                <w:lang w:val="x-none"/>
              </w:rPr>
            </w:pPr>
            <w:r w:rsidRPr="00423D08">
              <w:rPr>
                <w:rFonts w:ascii="Times New Roman" w:hAnsi="Times New Roman" w:cs="Times New Roman"/>
                <w:b/>
                <w:szCs w:val="24"/>
                <w:lang w:val="x-none"/>
              </w:rPr>
              <w:t>資料庫</w:t>
            </w:r>
          </w:p>
          <w:p w:rsidR="005C3B70" w:rsidRPr="00423D08" w:rsidRDefault="005C3B70" w:rsidP="0040166F">
            <w:pPr>
              <w:jc w:val="center"/>
              <w:rPr>
                <w:rFonts w:ascii="Times New Roman" w:hAnsi="Times New Roman" w:cs="Times New Roman"/>
                <w:b/>
                <w:szCs w:val="24"/>
                <w:lang w:val="x-none"/>
              </w:rPr>
            </w:pPr>
            <w:r w:rsidRPr="00423D08">
              <w:rPr>
                <w:rFonts w:ascii="Times New Roman" w:hAnsi="Times New Roman" w:cs="Times New Roman"/>
                <w:b/>
                <w:szCs w:val="24"/>
                <w:lang w:val="x-none"/>
              </w:rPr>
              <w:t>名稱</w:t>
            </w:r>
            <w:r w:rsidRPr="00423D08">
              <w:rPr>
                <w:rFonts w:ascii="Times New Roman" w:hAnsi="Times New Roman" w:cs="Times New Roman"/>
                <w:b/>
                <w:szCs w:val="24"/>
                <w:lang w:val="x-none"/>
              </w:rPr>
              <w:t>(SSCI</w:t>
            </w:r>
            <w:r w:rsidRPr="00423D08">
              <w:rPr>
                <w:rFonts w:ascii="Times New Roman" w:hAnsi="Times New Roman" w:cs="Times New Roman"/>
                <w:b/>
                <w:szCs w:val="24"/>
                <w:lang w:val="x-none"/>
              </w:rPr>
              <w:t>、</w:t>
            </w:r>
            <w:r w:rsidRPr="00423D08">
              <w:rPr>
                <w:rFonts w:ascii="Times New Roman" w:hAnsi="Times New Roman" w:cs="Times New Roman"/>
                <w:b/>
                <w:szCs w:val="24"/>
                <w:lang w:val="x-none"/>
              </w:rPr>
              <w:t>SCI</w:t>
            </w:r>
            <w:r w:rsidRPr="00423D08">
              <w:rPr>
                <w:rFonts w:ascii="Times New Roman" w:hAnsi="Times New Roman" w:cs="Times New Roman"/>
                <w:b/>
                <w:szCs w:val="24"/>
                <w:lang w:val="x-none"/>
              </w:rPr>
              <w:t>、</w:t>
            </w:r>
            <w:r w:rsidRPr="00423D08">
              <w:rPr>
                <w:rFonts w:ascii="Times New Roman" w:hAnsi="Times New Roman" w:cs="Times New Roman"/>
                <w:b/>
                <w:szCs w:val="24"/>
                <w:lang w:val="x-none"/>
              </w:rPr>
              <w:t>SCIE</w:t>
            </w:r>
            <w:r w:rsidRPr="00423D08">
              <w:rPr>
                <w:rFonts w:ascii="Times New Roman" w:hAnsi="Times New Roman" w:cs="Times New Roman"/>
                <w:b/>
                <w:szCs w:val="24"/>
                <w:lang w:val="x-none"/>
              </w:rPr>
              <w:t>、</w:t>
            </w:r>
            <w:r w:rsidRPr="00423D08">
              <w:rPr>
                <w:rFonts w:ascii="Times New Roman" w:hAnsi="Times New Roman" w:cs="Times New Roman"/>
                <w:b/>
                <w:szCs w:val="24"/>
                <w:lang w:val="x-none"/>
              </w:rPr>
              <w:t>SCOPUS</w:t>
            </w:r>
            <w:r w:rsidRPr="00423D08">
              <w:rPr>
                <w:rFonts w:ascii="Times New Roman" w:hAnsi="Times New Roman" w:cs="Times New Roman"/>
                <w:b/>
                <w:szCs w:val="24"/>
                <w:lang w:val="x-none"/>
              </w:rPr>
              <w:t>等</w:t>
            </w:r>
            <w:r w:rsidRPr="00423D08">
              <w:rPr>
                <w:rFonts w:ascii="Times New Roman" w:hAnsi="Times New Roman" w:cs="Times New Roman"/>
                <w:b/>
                <w:szCs w:val="24"/>
                <w:lang w:val="x-none"/>
              </w:rPr>
              <w:t>)</w:t>
            </w:r>
          </w:p>
        </w:tc>
        <w:tc>
          <w:tcPr>
            <w:tcW w:w="1276" w:type="dxa"/>
          </w:tcPr>
          <w:p w:rsidR="005C3B70" w:rsidRPr="00423D08" w:rsidRDefault="005C3B70" w:rsidP="0040166F">
            <w:pPr>
              <w:rPr>
                <w:rFonts w:ascii="Times New Roman" w:hAnsi="Times New Roman" w:cs="Times New Roman"/>
                <w:b/>
                <w:szCs w:val="24"/>
                <w:lang w:val="x-none"/>
              </w:rPr>
            </w:pPr>
            <w:r w:rsidRPr="00423D08">
              <w:rPr>
                <w:rFonts w:ascii="Times New Roman" w:hAnsi="Times New Roman" w:cs="Times New Roman"/>
                <w:b/>
                <w:szCs w:val="24"/>
                <w:lang w:val="x-none"/>
              </w:rPr>
              <w:t>作者順序</w:t>
            </w:r>
            <w:r w:rsidRPr="00423D08">
              <w:rPr>
                <w:rFonts w:ascii="Times New Roman" w:hAnsi="Times New Roman" w:cs="Times New Roman"/>
                <w:b/>
                <w:szCs w:val="24"/>
                <w:lang w:val="x-none"/>
              </w:rPr>
              <w:t>(</w:t>
            </w:r>
            <w:r w:rsidRPr="00423D08">
              <w:rPr>
                <w:rFonts w:ascii="Times New Roman" w:hAnsi="Times New Roman" w:cs="Times New Roman"/>
                <w:b/>
                <w:szCs w:val="24"/>
                <w:lang w:val="x-none"/>
              </w:rPr>
              <w:t>通訊、第一、第二</w:t>
            </w:r>
            <w:r w:rsidRPr="00423D08">
              <w:rPr>
                <w:rFonts w:ascii="Times New Roman" w:hAnsi="Times New Roman" w:cs="Times New Roman"/>
                <w:b/>
                <w:szCs w:val="24"/>
                <w:lang w:val="x-none"/>
              </w:rPr>
              <w:t>)</w:t>
            </w:r>
          </w:p>
        </w:tc>
      </w:tr>
      <w:tr w:rsidR="009E312A" w:rsidRPr="00423D08" w:rsidTr="00366FA1">
        <w:tc>
          <w:tcPr>
            <w:tcW w:w="1004" w:type="dxa"/>
          </w:tcPr>
          <w:p w:rsidR="009E312A" w:rsidRPr="00423D08" w:rsidRDefault="009E312A" w:rsidP="009E312A">
            <w:pPr>
              <w:rPr>
                <w:rFonts w:ascii="Times New Roman" w:hAnsi="Times New Roman" w:cs="Times New Roman"/>
                <w:b/>
                <w:szCs w:val="24"/>
                <w:lang w:val="x-none"/>
              </w:rPr>
            </w:pPr>
            <w:r w:rsidRPr="00423D08">
              <w:rPr>
                <w:rFonts w:ascii="Times New Roman" w:hAnsi="Times New Roman" w:cs="Times New Roman"/>
                <w:b/>
                <w:szCs w:val="24"/>
                <w:lang w:val="x-none"/>
              </w:rPr>
              <w:t>serial number</w:t>
            </w:r>
          </w:p>
          <w:p w:rsidR="005C3B70" w:rsidRPr="00423D08" w:rsidRDefault="005C3B70" w:rsidP="009E312A">
            <w:pPr>
              <w:rPr>
                <w:rFonts w:ascii="Times New Roman" w:hAnsi="Times New Roman" w:cs="Times New Roman"/>
                <w:b/>
                <w:szCs w:val="24"/>
                <w:lang w:val="x-none"/>
              </w:rPr>
            </w:pPr>
          </w:p>
        </w:tc>
        <w:tc>
          <w:tcPr>
            <w:tcW w:w="1627" w:type="dxa"/>
          </w:tcPr>
          <w:p w:rsidR="005C3B70" w:rsidRPr="00423D08" w:rsidRDefault="005C3B70" w:rsidP="009E312A">
            <w:pPr>
              <w:rPr>
                <w:rFonts w:ascii="Times New Roman" w:hAnsi="Times New Roman" w:cs="Times New Roman"/>
                <w:b/>
                <w:szCs w:val="24"/>
                <w:highlight w:val="yellow"/>
                <w:lang w:val="x-none"/>
              </w:rPr>
            </w:pPr>
            <w:r w:rsidRPr="00423D08">
              <w:rPr>
                <w:rFonts w:ascii="Times New Roman" w:hAnsi="Times New Roman" w:cs="Times New Roman"/>
                <w:b/>
                <w:szCs w:val="24"/>
                <w:lang w:val="x-none"/>
              </w:rPr>
              <w:t>Year/</w:t>
            </w:r>
            <w:r w:rsidR="009E312A" w:rsidRPr="00423D08">
              <w:rPr>
                <w:rFonts w:ascii="Times New Roman" w:hAnsi="Times New Roman" w:cs="Times New Roman"/>
                <w:b/>
                <w:szCs w:val="24"/>
                <w:lang w:val="x-none"/>
              </w:rPr>
              <w:t>M</w:t>
            </w:r>
            <w:r w:rsidRPr="00423D08">
              <w:rPr>
                <w:rFonts w:ascii="Times New Roman" w:hAnsi="Times New Roman" w:cs="Times New Roman"/>
                <w:b/>
                <w:szCs w:val="24"/>
                <w:lang w:val="x-none"/>
              </w:rPr>
              <w:t>onth of publication</w:t>
            </w:r>
          </w:p>
        </w:tc>
        <w:tc>
          <w:tcPr>
            <w:tcW w:w="1355" w:type="dxa"/>
          </w:tcPr>
          <w:p w:rsidR="005C3B70" w:rsidRPr="00423D08" w:rsidRDefault="005C3B70" w:rsidP="005C3B70">
            <w:pPr>
              <w:rPr>
                <w:rFonts w:ascii="Times New Roman" w:hAnsi="Times New Roman" w:cs="Times New Roman"/>
                <w:b/>
                <w:szCs w:val="24"/>
                <w:lang w:val="x-none"/>
              </w:rPr>
            </w:pPr>
            <w:r w:rsidRPr="00423D08">
              <w:rPr>
                <w:rFonts w:ascii="Times New Roman" w:hAnsi="Times New Roman" w:cs="Times New Roman"/>
                <w:b/>
                <w:szCs w:val="24"/>
                <w:lang w:val="x-none"/>
              </w:rPr>
              <w:t>Author Name</w:t>
            </w:r>
          </w:p>
        </w:tc>
        <w:tc>
          <w:tcPr>
            <w:tcW w:w="1195" w:type="dxa"/>
          </w:tcPr>
          <w:p w:rsidR="009E312A" w:rsidRPr="00423D08" w:rsidRDefault="009E312A" w:rsidP="009E312A">
            <w:pPr>
              <w:rPr>
                <w:rFonts w:ascii="Times New Roman" w:hAnsi="Times New Roman" w:cs="Times New Roman"/>
                <w:b/>
                <w:szCs w:val="24"/>
                <w:lang w:val="x-none"/>
              </w:rPr>
            </w:pPr>
            <w:r w:rsidRPr="00423D08">
              <w:rPr>
                <w:rFonts w:ascii="Times New Roman" w:hAnsi="Times New Roman" w:cs="Times New Roman"/>
                <w:b/>
                <w:szCs w:val="24"/>
                <w:lang w:val="x-none"/>
              </w:rPr>
              <w:t>Title of the published paper</w:t>
            </w:r>
          </w:p>
          <w:p w:rsidR="005C3B70" w:rsidRPr="00423D08" w:rsidRDefault="005C3B70" w:rsidP="009E312A">
            <w:pPr>
              <w:rPr>
                <w:rFonts w:ascii="Times New Roman" w:hAnsi="Times New Roman" w:cs="Times New Roman"/>
                <w:b/>
                <w:szCs w:val="24"/>
                <w:lang w:val="x-none"/>
              </w:rPr>
            </w:pPr>
          </w:p>
        </w:tc>
        <w:tc>
          <w:tcPr>
            <w:tcW w:w="1194" w:type="dxa"/>
          </w:tcPr>
          <w:p w:rsidR="005C3B70" w:rsidRPr="00423D08" w:rsidRDefault="00426A98" w:rsidP="009E312A">
            <w:pPr>
              <w:rPr>
                <w:rFonts w:ascii="Times New Roman" w:hAnsi="Times New Roman" w:cs="Times New Roman"/>
                <w:b/>
                <w:szCs w:val="24"/>
                <w:lang w:val="x-none"/>
              </w:rPr>
            </w:pPr>
            <w:r w:rsidRPr="00423D08">
              <w:rPr>
                <w:rFonts w:ascii="Times New Roman" w:hAnsi="Times New Roman" w:cs="Times New Roman"/>
                <w:b/>
                <w:szCs w:val="24"/>
                <w:lang w:val="x-none"/>
              </w:rPr>
              <w:t>Published journal name</w:t>
            </w:r>
          </w:p>
        </w:tc>
        <w:tc>
          <w:tcPr>
            <w:tcW w:w="1558" w:type="dxa"/>
          </w:tcPr>
          <w:p w:rsidR="005C3B70" w:rsidRPr="00423D08" w:rsidRDefault="005C3B70" w:rsidP="0040166F">
            <w:pPr>
              <w:jc w:val="center"/>
              <w:rPr>
                <w:rFonts w:ascii="Times New Roman" w:hAnsi="Times New Roman" w:cs="Times New Roman"/>
                <w:b/>
                <w:szCs w:val="24"/>
                <w:lang w:val="x-none"/>
              </w:rPr>
            </w:pPr>
          </w:p>
        </w:tc>
        <w:tc>
          <w:tcPr>
            <w:tcW w:w="1276" w:type="dxa"/>
          </w:tcPr>
          <w:p w:rsidR="005C3B70" w:rsidRPr="00423D08" w:rsidRDefault="005C3B70" w:rsidP="0040166F">
            <w:pPr>
              <w:rPr>
                <w:rFonts w:ascii="Times New Roman" w:hAnsi="Times New Roman" w:cs="Times New Roman"/>
                <w:b/>
                <w:szCs w:val="24"/>
                <w:lang w:val="x-none"/>
              </w:rPr>
            </w:pPr>
          </w:p>
        </w:tc>
      </w:tr>
      <w:tr w:rsidR="009E312A" w:rsidRPr="00423D08" w:rsidTr="00366FA1">
        <w:tc>
          <w:tcPr>
            <w:tcW w:w="1004" w:type="dxa"/>
          </w:tcPr>
          <w:p w:rsidR="005C3B70" w:rsidRPr="00423D08" w:rsidRDefault="005C3B70" w:rsidP="0040166F">
            <w:pPr>
              <w:rPr>
                <w:rFonts w:ascii="Times New Roman" w:hAnsi="Times New Roman" w:cs="Times New Roman"/>
                <w:b/>
                <w:szCs w:val="24"/>
                <w:lang w:val="x-none"/>
              </w:rPr>
            </w:pPr>
          </w:p>
        </w:tc>
        <w:tc>
          <w:tcPr>
            <w:tcW w:w="1627" w:type="dxa"/>
          </w:tcPr>
          <w:p w:rsidR="005C3B70" w:rsidRPr="00423D08" w:rsidRDefault="005C3B70" w:rsidP="0040166F">
            <w:pPr>
              <w:rPr>
                <w:rFonts w:ascii="Times New Roman" w:hAnsi="Times New Roman" w:cs="Times New Roman"/>
                <w:b/>
                <w:szCs w:val="24"/>
                <w:lang w:val="x-none"/>
              </w:rPr>
            </w:pPr>
          </w:p>
        </w:tc>
        <w:tc>
          <w:tcPr>
            <w:tcW w:w="1355" w:type="dxa"/>
          </w:tcPr>
          <w:p w:rsidR="005C3B70" w:rsidRPr="00423D08" w:rsidRDefault="005C3B70" w:rsidP="005C3B70">
            <w:pPr>
              <w:rPr>
                <w:rFonts w:ascii="Times New Roman" w:hAnsi="Times New Roman" w:cs="Times New Roman"/>
                <w:b/>
                <w:szCs w:val="24"/>
                <w:lang w:val="x-none"/>
              </w:rPr>
            </w:pPr>
          </w:p>
        </w:tc>
        <w:tc>
          <w:tcPr>
            <w:tcW w:w="1195" w:type="dxa"/>
          </w:tcPr>
          <w:p w:rsidR="005C3B70" w:rsidRPr="00423D08" w:rsidRDefault="005C3B70" w:rsidP="0040166F">
            <w:pPr>
              <w:rPr>
                <w:rFonts w:ascii="Times New Roman" w:hAnsi="Times New Roman" w:cs="Times New Roman"/>
                <w:b/>
                <w:szCs w:val="24"/>
                <w:lang w:val="x-none"/>
              </w:rPr>
            </w:pPr>
          </w:p>
        </w:tc>
        <w:tc>
          <w:tcPr>
            <w:tcW w:w="1194" w:type="dxa"/>
          </w:tcPr>
          <w:p w:rsidR="005C3B70" w:rsidRPr="00423D08" w:rsidRDefault="005C3B70" w:rsidP="0040166F">
            <w:pPr>
              <w:rPr>
                <w:rFonts w:ascii="Times New Roman" w:hAnsi="Times New Roman" w:cs="Times New Roman"/>
                <w:b/>
                <w:szCs w:val="24"/>
                <w:lang w:val="x-none"/>
              </w:rPr>
            </w:pPr>
          </w:p>
        </w:tc>
        <w:tc>
          <w:tcPr>
            <w:tcW w:w="1558" w:type="dxa"/>
          </w:tcPr>
          <w:p w:rsidR="005C3B70" w:rsidRPr="00423D08" w:rsidRDefault="005C3B70" w:rsidP="0040166F">
            <w:pPr>
              <w:jc w:val="center"/>
              <w:rPr>
                <w:rFonts w:ascii="Times New Roman" w:hAnsi="Times New Roman" w:cs="Times New Roman"/>
                <w:b/>
                <w:szCs w:val="24"/>
                <w:lang w:val="x-none"/>
              </w:rPr>
            </w:pPr>
          </w:p>
        </w:tc>
        <w:tc>
          <w:tcPr>
            <w:tcW w:w="1276" w:type="dxa"/>
          </w:tcPr>
          <w:p w:rsidR="005C3B70" w:rsidRPr="00423D08" w:rsidRDefault="005C3B70" w:rsidP="0040166F">
            <w:pPr>
              <w:rPr>
                <w:rFonts w:ascii="Times New Roman" w:hAnsi="Times New Roman" w:cs="Times New Roman"/>
                <w:b/>
                <w:szCs w:val="24"/>
                <w:lang w:val="x-none"/>
              </w:rPr>
            </w:pPr>
          </w:p>
        </w:tc>
      </w:tr>
    </w:tbl>
    <w:p w:rsidR="005C3B70" w:rsidRPr="00423D08" w:rsidRDefault="005C3B70" w:rsidP="003139AB">
      <w:pPr>
        <w:widowControl/>
        <w:rPr>
          <w:rFonts w:ascii="Times New Roman" w:hAnsi="Times New Roman" w:cs="Times New Roman"/>
          <w:szCs w:val="24"/>
          <w:lang w:val="x-none"/>
        </w:rPr>
      </w:pPr>
    </w:p>
    <w:sectPr w:rsidR="005C3B70" w:rsidRPr="00423D0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867" w:rsidRDefault="00904867" w:rsidP="00D21840">
      <w:r>
        <w:separator/>
      </w:r>
    </w:p>
  </w:endnote>
  <w:endnote w:type="continuationSeparator" w:id="0">
    <w:p w:rsidR="00904867" w:rsidRDefault="00904867" w:rsidP="00D2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867" w:rsidRDefault="00904867" w:rsidP="00D21840">
      <w:r>
        <w:separator/>
      </w:r>
    </w:p>
  </w:footnote>
  <w:footnote w:type="continuationSeparator" w:id="0">
    <w:p w:rsidR="00904867" w:rsidRDefault="00904867" w:rsidP="00D218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70747"/>
    <w:multiLevelType w:val="hybridMultilevel"/>
    <w:tmpl w:val="9FF63D3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06"/>
    <w:rsid w:val="00024001"/>
    <w:rsid w:val="000A37E0"/>
    <w:rsid w:val="00192E15"/>
    <w:rsid w:val="002E1761"/>
    <w:rsid w:val="003139AB"/>
    <w:rsid w:val="00366FA1"/>
    <w:rsid w:val="00423D08"/>
    <w:rsid w:val="00425F5D"/>
    <w:rsid w:val="00426A98"/>
    <w:rsid w:val="00470895"/>
    <w:rsid w:val="005C3B70"/>
    <w:rsid w:val="005E162C"/>
    <w:rsid w:val="006367BF"/>
    <w:rsid w:val="00674478"/>
    <w:rsid w:val="0073056B"/>
    <w:rsid w:val="00793F06"/>
    <w:rsid w:val="007978D3"/>
    <w:rsid w:val="00904867"/>
    <w:rsid w:val="009E312A"/>
    <w:rsid w:val="00A2086F"/>
    <w:rsid w:val="00B25DF7"/>
    <w:rsid w:val="00BD0352"/>
    <w:rsid w:val="00D21840"/>
    <w:rsid w:val="00D73EE7"/>
    <w:rsid w:val="00EF4967"/>
    <w:rsid w:val="00F607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874C43-7160-40B7-A4B4-D8BE0EDA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F06"/>
    <w:pPr>
      <w:ind w:leftChars="200" w:left="480"/>
    </w:pPr>
    <w:rPr>
      <w:szCs w:val="24"/>
    </w:rPr>
  </w:style>
  <w:style w:type="paragraph" w:customStyle="1" w:styleId="Default">
    <w:name w:val="Default"/>
    <w:rsid w:val="00793F06"/>
    <w:pPr>
      <w:widowControl w:val="0"/>
      <w:autoSpaceDE w:val="0"/>
      <w:autoSpaceDN w:val="0"/>
      <w:adjustRightInd w:val="0"/>
    </w:pPr>
    <w:rPr>
      <w:rFonts w:ascii="Times New Roman" w:hAnsi="Times New Roman" w:cs="Times New Roman"/>
      <w:color w:val="000000"/>
      <w:kern w:val="0"/>
      <w:szCs w:val="24"/>
    </w:rPr>
  </w:style>
  <w:style w:type="paragraph" w:styleId="Web">
    <w:name w:val="Normal (Web)"/>
    <w:basedOn w:val="a"/>
    <w:uiPriority w:val="99"/>
    <w:unhideWhenUsed/>
    <w:rsid w:val="00B25DF7"/>
    <w:pPr>
      <w:widowControl/>
      <w:spacing w:before="100" w:beforeAutospacing="1" w:after="100" w:afterAutospacing="1"/>
    </w:pPr>
    <w:rPr>
      <w:rFonts w:ascii="新細明體" w:eastAsia="新細明體" w:hAnsi="新細明體" w:cs="新細明體"/>
      <w:kern w:val="0"/>
      <w:szCs w:val="24"/>
    </w:rPr>
  </w:style>
  <w:style w:type="table" w:styleId="a4">
    <w:name w:val="Table Grid"/>
    <w:basedOn w:val="a1"/>
    <w:rsid w:val="005C3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9E3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9E312A"/>
    <w:rPr>
      <w:rFonts w:ascii="細明體" w:eastAsia="細明體" w:hAnsi="細明體" w:cs="細明體"/>
      <w:kern w:val="0"/>
      <w:szCs w:val="24"/>
    </w:rPr>
  </w:style>
  <w:style w:type="character" w:customStyle="1" w:styleId="y2iqfc">
    <w:name w:val="y2iqfc"/>
    <w:basedOn w:val="a0"/>
    <w:rsid w:val="009E312A"/>
  </w:style>
  <w:style w:type="paragraph" w:styleId="a5">
    <w:name w:val="header"/>
    <w:basedOn w:val="a"/>
    <w:link w:val="a6"/>
    <w:uiPriority w:val="99"/>
    <w:unhideWhenUsed/>
    <w:rsid w:val="00D21840"/>
    <w:pPr>
      <w:tabs>
        <w:tab w:val="center" w:pos="4153"/>
        <w:tab w:val="right" w:pos="8306"/>
      </w:tabs>
      <w:snapToGrid w:val="0"/>
    </w:pPr>
    <w:rPr>
      <w:sz w:val="20"/>
      <w:szCs w:val="20"/>
    </w:rPr>
  </w:style>
  <w:style w:type="character" w:customStyle="1" w:styleId="a6">
    <w:name w:val="頁首 字元"/>
    <w:basedOn w:val="a0"/>
    <w:link w:val="a5"/>
    <w:uiPriority w:val="99"/>
    <w:rsid w:val="00D21840"/>
    <w:rPr>
      <w:sz w:val="20"/>
      <w:szCs w:val="20"/>
    </w:rPr>
  </w:style>
  <w:style w:type="paragraph" w:styleId="a7">
    <w:name w:val="footer"/>
    <w:basedOn w:val="a"/>
    <w:link w:val="a8"/>
    <w:uiPriority w:val="99"/>
    <w:unhideWhenUsed/>
    <w:rsid w:val="00D21840"/>
    <w:pPr>
      <w:tabs>
        <w:tab w:val="center" w:pos="4153"/>
        <w:tab w:val="right" w:pos="8306"/>
      </w:tabs>
      <w:snapToGrid w:val="0"/>
    </w:pPr>
    <w:rPr>
      <w:sz w:val="20"/>
      <w:szCs w:val="20"/>
    </w:rPr>
  </w:style>
  <w:style w:type="character" w:customStyle="1" w:styleId="a8">
    <w:name w:val="頁尾 字元"/>
    <w:basedOn w:val="a0"/>
    <w:link w:val="a7"/>
    <w:uiPriority w:val="99"/>
    <w:rsid w:val="00D218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6569">
      <w:bodyDiv w:val="1"/>
      <w:marLeft w:val="0"/>
      <w:marRight w:val="0"/>
      <w:marTop w:val="0"/>
      <w:marBottom w:val="0"/>
      <w:divBdr>
        <w:top w:val="none" w:sz="0" w:space="0" w:color="auto"/>
        <w:left w:val="none" w:sz="0" w:space="0" w:color="auto"/>
        <w:bottom w:val="none" w:sz="0" w:space="0" w:color="auto"/>
        <w:right w:val="none" w:sz="0" w:space="0" w:color="auto"/>
      </w:divBdr>
    </w:div>
    <w:div w:id="598031039">
      <w:bodyDiv w:val="1"/>
      <w:marLeft w:val="0"/>
      <w:marRight w:val="0"/>
      <w:marTop w:val="0"/>
      <w:marBottom w:val="0"/>
      <w:divBdr>
        <w:top w:val="none" w:sz="0" w:space="0" w:color="auto"/>
        <w:left w:val="none" w:sz="0" w:space="0" w:color="auto"/>
        <w:bottom w:val="none" w:sz="0" w:space="0" w:color="auto"/>
        <w:right w:val="none" w:sz="0" w:space="0" w:color="auto"/>
      </w:divBdr>
    </w:div>
    <w:div w:id="8854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2022-07-04T09:00:00Z</cp:lastPrinted>
  <dcterms:created xsi:type="dcterms:W3CDTF">2022-07-04T06:06:00Z</dcterms:created>
  <dcterms:modified xsi:type="dcterms:W3CDTF">2022-07-04T09:16:00Z</dcterms:modified>
</cp:coreProperties>
</file>